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7158023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180E82">
        <w:rPr>
          <w:rFonts w:ascii="Arial" w:hAnsi="Arial" w:cs="Arial"/>
          <w:sz w:val="20"/>
          <w:szCs w:val="20"/>
        </w:rPr>
        <w:t>Департамента внешних и внутренних коммуникаций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ED0D6B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180E82">
        <w:rPr>
          <w:rFonts w:ascii="Arial" w:hAnsi="Arial" w:cs="Arial"/>
          <w:sz w:val="20"/>
          <w:szCs w:val="20"/>
        </w:rPr>
        <w:t>15.01.2025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5AB4892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AC70EE4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1934D18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B016CC2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2025-01-16T12:29:00Z</dcterms:created>
  <dcterms:modified xsi:type="dcterms:W3CDTF">2025-01-16T12:29:00Z</dcterms:modified>
</cp:coreProperties>
</file>